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pPr>
      <w:r>
        <w:rPr>
          <w:i w:val="0"/>
          <w:iCs w:val="0"/>
          <w:caps w:val="0"/>
          <w:color w:val="000000"/>
          <w:spacing w:val="0"/>
        </w:rPr>
        <w:t>4-甲基肉桂酸乙酯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4" w:lineRule="atLeast"/>
        <w:ind w:left="0" w:right="0" w:firstLine="0"/>
        <w:jc w:val="center"/>
        <w:rPr>
          <w:rFonts w:ascii="Arial" w:hAnsi="Arial" w:cs="Arial"/>
          <w:i w:val="0"/>
          <w:iCs w:val="0"/>
          <w:caps w:val="0"/>
          <w:color w:val="888888"/>
          <w:spacing w:val="0"/>
        </w:rPr>
      </w:pPr>
      <w:r>
        <w:rPr>
          <w:rFonts w:hint="default" w:ascii="Arial" w:hAnsi="Arial" w:eastAsia="宋体" w:cs="Arial"/>
          <w:i w:val="0"/>
          <w:iCs w:val="0"/>
          <w:caps w:val="0"/>
          <w:color w:val="888888"/>
          <w:spacing w:val="0"/>
          <w:kern w:val="0"/>
          <w:sz w:val="24"/>
          <w:szCs w:val="24"/>
          <w:lang w:val="en-US" w:eastAsia="zh-CN" w:bidi="ar"/>
        </w:rPr>
        <w:t>修订日期：2022-08-11修订编号：1</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1 部分：物质/混合物和公司/企业的识别</w:t>
      </w:r>
      <w:bookmarkStart w:id="0" w:name="1"/>
      <w:bookmarkEnd w:id="0"/>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产品标识符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产品名称: 4-甲基肉桂酸乙酯</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CB编号: CB2400686</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中科院: 20511-20-0</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EINECS编号: 606-571-8</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同义词: (E)-3-(4-甲基苯基)丙-2-烯酸乙酯</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物质或混合物的相关确定用途和不建议的用途</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相关确定用途：仅供研发使用。不得用于医疗、家庭或其他用途。</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建议不要使用： 没有任何</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bookmarkStart w:id="18" w:name="_GoBack"/>
      <w:bookmarkEnd w:id="18"/>
      <w:r>
        <w:rPr>
          <w:b w:val="0"/>
          <w:bCs w:val="0"/>
          <w:i w:val="0"/>
          <w:iCs w:val="0"/>
          <w:caps w:val="0"/>
          <w:color w:val="333333"/>
          <w:spacing w:val="0"/>
        </w:rPr>
        <w:t>第 2 部分：危害识别</w:t>
      </w:r>
      <w:bookmarkStart w:id="1" w:name="2"/>
      <w:bookmarkEnd w:id="1"/>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物质或混合物的分类</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标签元素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left"/>
        <w:rPr>
          <w:rFonts w:hint="default" w:ascii="Arial" w:hAnsi="Arial" w:cs="Arial"/>
          <w:i w:val="0"/>
          <w:iCs w:val="0"/>
          <w:caps w:val="0"/>
          <w:color w:val="000000"/>
          <w:spacing w:val="0"/>
        </w:rPr>
      </w:pPr>
      <w:r>
        <w:rPr>
          <w:rFonts w:hint="default" w:ascii="Arial" w:hAnsi="Arial" w:eastAsia="宋体" w:cs="Arial"/>
          <w:b/>
          <w:bCs/>
          <w:i w:val="0"/>
          <w:iCs w:val="0"/>
          <w:caps w:val="0"/>
          <w:color w:val="000000"/>
          <w:spacing w:val="0"/>
          <w:kern w:val="0"/>
          <w:sz w:val="24"/>
          <w:szCs w:val="24"/>
          <w:lang w:val="en-US" w:eastAsia="zh-CN" w:bidi="ar"/>
        </w:rPr>
        <w:t>象形图</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信号词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危险说明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防范说明预防</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回复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贮存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处理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其他危害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3 部分：成分/成分信息</w:t>
      </w:r>
      <w:bookmarkStart w:id="2" w:name="3"/>
      <w:bookmarkEnd w:id="2"/>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物质</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产品名称: 4-甲基肉桂酸乙酯</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同义词: (E)-3-(4-甲基苯基)丙-2-烯酸乙酯</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中科院: 20511-20-0</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EC编号: 606-571-8</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中频: C12H14O2</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兆瓦：190.24</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4 节：急救措施</w:t>
      </w:r>
      <w:bookmarkStart w:id="3" w:name="4"/>
      <w:bookmarkEnd w:id="3"/>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急救措施说明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left"/>
        <w:rPr>
          <w:rFonts w:hint="default" w:ascii="Arial" w:hAnsi="Arial" w:cs="Arial"/>
          <w:i w:val="0"/>
          <w:iCs w:val="0"/>
          <w:caps w:val="0"/>
          <w:color w:val="000000"/>
          <w:spacing w:val="0"/>
        </w:rPr>
      </w:pPr>
      <w:r>
        <w:rPr>
          <w:rFonts w:hint="default" w:ascii="Arial" w:hAnsi="Arial" w:eastAsia="宋体" w:cs="Arial"/>
          <w:b/>
          <w:bCs/>
          <w:i w:val="0"/>
          <w:iCs w:val="0"/>
          <w:caps w:val="0"/>
          <w:color w:val="000000"/>
          <w:spacing w:val="0"/>
          <w:kern w:val="0"/>
          <w:sz w:val="24"/>
          <w:szCs w:val="24"/>
          <w:lang w:val="en-US" w:eastAsia="zh-CN" w:bidi="ar"/>
        </w:rPr>
        <w:t>如果吸入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将受害者转移到新鲜空气中。如呼吸困难，给输氧。如果没有呼吸，立即进行人工呼吸并就医。如果受害者摄入或吸入了化学物质，请勿使用口对口人工呼吸。</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皮肤接触后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立即脱掉被污染的衣服。用肥皂和大量的水清洗。咨询医生。</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眼神接触后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用纯净水冲洗至少 15 分钟。咨询医生。</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摄入后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用水漱口。不要催吐。切勿给失去知觉者从嘴里喂食任何东西。立即呼叫医生或中毒控制中心。</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最重要的症状和影响，包括急性和延迟的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任何需要立即就医和特殊治疗的指示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5 节：消防措施</w:t>
      </w:r>
      <w:bookmarkStart w:id="4" w:name="5"/>
      <w:bookmarkEnd w:id="4"/>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灭火剂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使用化学干粉、二氧化碳或抗酒精泡沫。</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化学品引起的特定危害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给消防员的建议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必要时佩戴自给式呼吸器进行救火。</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6 节：意外释放措施</w:t>
      </w:r>
      <w:bookmarkStart w:id="5" w:name="6"/>
      <w:bookmarkEnd w:id="5"/>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个人预防措施、防护装备和应急程序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避免粉尘形成。避免吸入烟雾、气体或蒸气。避免接触皮肤和眼睛。使用个人防护装备。戴化学防渗手套。确保充分通风。移除所有火源。将人员疏散到安全区域。使人员远离溢出物/泄漏物并位于溢出物/泄漏物的上风处。</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环境注意事项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如果这样做是安全的，请防止进一步溢出或泄漏。不要让化学品进入下水道。必须避免排放到环境中。</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遏制和清理的方法和材料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收集并安排处置。将化学品保存在合适的密闭容器中以备处置。除去所有火源。使用防火花工具和防爆设备。粘附或收集的材料应根据适当的法律法规及时处理。</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7 节：处理和储存</w:t>
      </w:r>
      <w:bookmarkStart w:id="6" w:name="7"/>
      <w:bookmarkEnd w:id="6"/>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安全操作注意事项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在通风良好的地方处理。穿合适的防护服。避免与皮肤和眼睛接触。避免形成粉尘和气溶胶。使用不产生火花的工具。防止静电放电蒸汽引起的火灾。</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安全储存条件，包括任何不相容性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将容器密闭存放在干燥、阴凉和通风良好的地方。与食品容器或不相容材料分开存放。</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8 部分：暴露控制/个人防护</w:t>
      </w:r>
      <w:bookmarkStart w:id="7" w:name="8"/>
      <w:bookmarkEnd w:id="7"/>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控制参数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left"/>
        <w:rPr>
          <w:rFonts w:hint="default" w:ascii="Arial" w:hAnsi="Arial" w:cs="Arial"/>
          <w:i w:val="0"/>
          <w:iCs w:val="0"/>
          <w:caps w:val="0"/>
          <w:color w:val="000000"/>
          <w:spacing w:val="0"/>
        </w:rPr>
      </w:pPr>
      <w:r>
        <w:rPr>
          <w:rFonts w:hint="default" w:ascii="Arial" w:hAnsi="Arial" w:eastAsia="宋体" w:cs="Arial"/>
          <w:b/>
          <w:bCs/>
          <w:i w:val="0"/>
          <w:iCs w:val="0"/>
          <w:caps w:val="0"/>
          <w:color w:val="000000"/>
          <w:spacing w:val="0"/>
          <w:kern w:val="0"/>
          <w:sz w:val="24"/>
          <w:szCs w:val="24"/>
          <w:lang w:val="en-US" w:eastAsia="zh-CN" w:bidi="ar"/>
        </w:rPr>
        <w:t>职业暴露限值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生物限值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曝光控制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确保充分通风。按照良好的工业卫生和安全规范进行处理。设置紧急出口和风险排除区。</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个人保护措施</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眼睛/面部保护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佩戴符合 EN 166（欧盟）或 NIOSH（美国）的带侧护罩的紧身护目镜。</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皮肤保护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穿防火/阻燃和不透水的衣服。戴手套处理。手套在使用前必须经过检查。洗手并擦干。所选防护手套必须满足欧盟指令 89/686/EEC 及其衍生的标准 EN 374 的规格。</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呼吸系统防护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如果超出接触限值、出现刺激或其他症状，请使用全面罩呼吸器。</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热危害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9 部分：物理和化学特性</w:t>
      </w:r>
      <w:bookmarkStart w:id="8" w:name="9"/>
      <w:bookmarkEnd w:id="8"/>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基本物理化学性质信息</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物理状态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颜色</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气味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熔点/凝固点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138-140?°C(lit.)</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沸点或初沸点和沸程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760 毫米汞柱时为 289.54°C</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易燃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爆炸下限和上限/可燃性极限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闪点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159.79℃</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自燃温度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分解温度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酸碱度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运动粘度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溶解度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正辛醇/水分配系数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蒸汽压力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25°C 时为 0.002mmHg</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密度和/或相对密度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1.039克/立方厘米</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相对蒸气密度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r>
        <w:rPr>
          <w:rFonts w:hint="default" w:ascii="Arial" w:hAnsi="Arial" w:cs="Arial"/>
          <w:i w:val="0"/>
          <w:iCs w:val="0"/>
          <w:caps w:val="0"/>
          <w:color w:val="000000"/>
          <w:spacing w:val="0"/>
        </w:rPr>
        <w:t>粒子特性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keepNext w:val="0"/>
        <w:keepLines w:val="0"/>
        <w:widowControl/>
        <w:numPr>
          <w:ilvl w:val="0"/>
          <w:numId w:val="5"/>
        </w:numPr>
        <w:suppressLineNumbers w:val="0"/>
        <w:pBdr>
          <w:top w:val="none" w:color="auto" w:sz="0" w:space="0"/>
          <w:left w:val="none" w:color="auto" w:sz="0" w:space="0"/>
          <w:bottom w:val="dotted" w:color="999999" w:sz="6" w:space="0"/>
          <w:right w:val="none" w:color="auto" w:sz="0" w:space="0"/>
        </w:pBdr>
        <w:spacing w:before="0" w:beforeAutospacing="0" w:after="0" w:afterAutospacing="0" w:line="24" w:lineRule="atLeast"/>
        <w:ind w:left="0" w:right="0" w:hanging="360"/>
      </w:pP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10 节：稳定性和反应性</w:t>
      </w:r>
      <w:bookmarkStart w:id="9" w:name="10"/>
      <w:bookmarkEnd w:id="9"/>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反应性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化学稳定性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危险反应的可能性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应避免的情况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不相容的材料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危险的分解产物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11 部分：毒理学信息</w:t>
      </w:r>
      <w:bookmarkStart w:id="10" w:name="11"/>
      <w:bookmarkEnd w:id="10"/>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急性毒性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口服：无可用数据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吸入：无可用数据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皮肤：无可用数据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皮肤腐蚀/刺激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严重的眼睛损伤/刺激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呼吸道或皮肤过敏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生殖细胞致突变性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致癌性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生殖毒性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STOT-单次曝光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STOT-重复暴露</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吸入危险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12 节：生态信息</w:t>
      </w:r>
      <w:bookmarkStart w:id="11" w:name="12"/>
      <w:bookmarkEnd w:id="11"/>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毒性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对鱼类的毒性：无可用数据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对水溞和其他水生无脊椎动物的毒性：无可用数据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对藻类的毒性：无可用数据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对微生物的毒性：无可用数据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持久性和降解性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生物蓄积潜力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在土壤中的流动性</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其他不良反应</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13 节：处置注意事项</w:t>
      </w:r>
      <w:bookmarkStart w:id="12" w:name="13"/>
      <w:bookmarkEnd w:id="12"/>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处置方法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left"/>
        <w:rPr>
          <w:rFonts w:hint="default" w:ascii="Arial" w:hAnsi="Arial" w:cs="Arial"/>
          <w:i w:val="0"/>
          <w:iCs w:val="0"/>
          <w:caps w:val="0"/>
          <w:color w:val="000000"/>
          <w:spacing w:val="0"/>
        </w:rPr>
      </w:pPr>
      <w:r>
        <w:rPr>
          <w:rFonts w:hint="default" w:ascii="Arial" w:hAnsi="Arial" w:eastAsia="宋体" w:cs="Arial"/>
          <w:b/>
          <w:bCs/>
          <w:i w:val="0"/>
          <w:iCs w:val="0"/>
          <w:caps w:val="0"/>
          <w:color w:val="000000"/>
          <w:spacing w:val="0"/>
          <w:kern w:val="0"/>
          <w:sz w:val="24"/>
          <w:szCs w:val="24"/>
          <w:lang w:val="en-US" w:eastAsia="zh-CN" w:bidi="ar"/>
        </w:rPr>
        <w:t>产品</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可以通过将材料移至获得许可的化学销毁厂或通过烟道气洗涤的受控焚烧来处置该材料。不要通过储存或处置污染水、食品、饲料或种子。不要排放到下水道系统。</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受污染的包装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容器可以进行三次漂洗（或等同物）并提供用于回收或修复。或者，可以刺破包装以使其无法用于其他目的，然后在卫生填埋场中进行处理。可燃包装材料可以通过烟气洗涤进行受控焚烧。</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14 节：运输信息</w:t>
      </w:r>
      <w:bookmarkStart w:id="13" w:name="14"/>
      <w:bookmarkEnd w:id="13"/>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联合国编号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ADR/RID：无可用数据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IMDG：无可用数据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国际航空运输协会：无可用数据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联合国正确运输名称</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ADR/RID：无可用数据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IMDG：无可用数据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国际航空运输协会：无可用数据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运输危险类别</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ADR/RID：无可用数据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IMDG：无可用数据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国际航空运输协会：无可用数据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包装组别，如适用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ADR/RID：无可用数据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IMDG：无可用数据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国际航空运输协会：无可用数据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环境危害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ADR/RID：否</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IMDG: 没有</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国际航空运输协会：没有</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用户特别注意事项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根据 IMO 文书进行散装运输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Arial" w:hAnsi="Arial" w:cs="Arial"/>
          <w:i w:val="0"/>
          <w:iCs w:val="0"/>
          <w:caps w:val="0"/>
          <w:color w:val="000000"/>
          <w:spacing w:val="0"/>
        </w:rPr>
        <w:t>无可用数据</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15 节：监管信息</w:t>
      </w:r>
      <w:bookmarkStart w:id="14" w:name="15"/>
      <w:bookmarkEnd w:id="14"/>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特定于相关产品的安全、健康和环境法规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left"/>
        <w:rPr>
          <w:rFonts w:hint="default" w:ascii="Arial" w:hAnsi="Arial" w:cs="Arial"/>
          <w:i w:val="0"/>
          <w:iCs w:val="0"/>
          <w:caps w:val="0"/>
          <w:color w:val="000000"/>
          <w:spacing w:val="0"/>
        </w:rPr>
      </w:pPr>
      <w:r>
        <w:rPr>
          <w:rFonts w:hint="default" w:ascii="Arial" w:hAnsi="Arial" w:eastAsia="宋体" w:cs="Arial"/>
          <w:b/>
          <w:bCs/>
          <w:i w:val="0"/>
          <w:iCs w:val="0"/>
          <w:caps w:val="0"/>
          <w:color w:val="000000"/>
          <w:spacing w:val="0"/>
          <w:kern w:val="0"/>
          <w:sz w:val="24"/>
          <w:szCs w:val="24"/>
          <w:lang w:val="en-US" w:eastAsia="zh-CN" w:bidi="ar"/>
        </w:rPr>
        <w:t>欧洲现有商业化学物质名录 (EINECS)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left"/>
        <w:rPr>
          <w:rFonts w:hint="default" w:ascii="Arial" w:hAnsi="Arial" w:cs="Arial"/>
          <w:i w:val="0"/>
          <w:iCs w:val="0"/>
          <w:caps w:val="0"/>
          <w:color w:val="000000"/>
          <w:spacing w:val="0"/>
        </w:rPr>
      </w:pPr>
      <w:r>
        <w:rPr>
          <w:rFonts w:hint="default" w:ascii="Arial" w:hAnsi="Arial" w:eastAsia="宋体" w:cs="Arial"/>
          <w:i w:val="0"/>
          <w:iCs w:val="0"/>
          <w:caps w:val="0"/>
          <w:color w:val="000000"/>
          <w:spacing w:val="0"/>
          <w:kern w:val="0"/>
          <w:sz w:val="24"/>
          <w:szCs w:val="24"/>
          <w:lang w:val="en-US" w:eastAsia="zh-CN" w:bidi="ar"/>
        </w:rPr>
        <w:t>没有列出。</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EC 库存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left"/>
        <w:rPr>
          <w:rFonts w:hint="default" w:ascii="Arial" w:hAnsi="Arial" w:cs="Arial"/>
          <w:i w:val="0"/>
          <w:iCs w:val="0"/>
          <w:caps w:val="0"/>
          <w:color w:val="000000"/>
          <w:spacing w:val="0"/>
        </w:rPr>
      </w:pPr>
      <w:r>
        <w:rPr>
          <w:rFonts w:hint="default" w:ascii="Arial" w:hAnsi="Arial" w:eastAsia="宋体" w:cs="Arial"/>
          <w:i w:val="0"/>
          <w:iCs w:val="0"/>
          <w:caps w:val="0"/>
          <w:color w:val="000000"/>
          <w:spacing w:val="0"/>
          <w:kern w:val="0"/>
          <w:sz w:val="24"/>
          <w:szCs w:val="24"/>
          <w:lang w:val="en-US" w:eastAsia="zh-CN" w:bidi="ar"/>
        </w:rPr>
        <w:t>没有列出。</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美国有毒物质控制法 (TSCA) 清单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left"/>
        <w:rPr>
          <w:rFonts w:hint="default" w:ascii="Arial" w:hAnsi="Arial" w:cs="Arial"/>
          <w:i w:val="0"/>
          <w:iCs w:val="0"/>
          <w:caps w:val="0"/>
          <w:color w:val="000000"/>
          <w:spacing w:val="0"/>
        </w:rPr>
      </w:pPr>
      <w:r>
        <w:rPr>
          <w:rFonts w:hint="default" w:ascii="Arial" w:hAnsi="Arial" w:eastAsia="宋体" w:cs="Arial"/>
          <w:i w:val="0"/>
          <w:iCs w:val="0"/>
          <w:caps w:val="0"/>
          <w:color w:val="000000"/>
          <w:spacing w:val="0"/>
          <w:kern w:val="0"/>
          <w:sz w:val="24"/>
          <w:szCs w:val="24"/>
          <w:lang w:val="en-US" w:eastAsia="zh-CN" w:bidi="ar"/>
        </w:rPr>
        <w:t>没有列出。</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中国危险化学品名录2015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left"/>
        <w:rPr>
          <w:rFonts w:hint="default" w:ascii="Arial" w:hAnsi="Arial" w:cs="Arial"/>
          <w:i w:val="0"/>
          <w:iCs w:val="0"/>
          <w:caps w:val="0"/>
          <w:color w:val="000000"/>
          <w:spacing w:val="0"/>
        </w:rPr>
      </w:pPr>
      <w:r>
        <w:rPr>
          <w:rFonts w:hint="default" w:ascii="Arial" w:hAnsi="Arial" w:eastAsia="宋体" w:cs="Arial"/>
          <w:i w:val="0"/>
          <w:iCs w:val="0"/>
          <w:caps w:val="0"/>
          <w:color w:val="000000"/>
          <w:spacing w:val="0"/>
          <w:kern w:val="0"/>
          <w:sz w:val="24"/>
          <w:szCs w:val="24"/>
          <w:lang w:val="en-US" w:eastAsia="zh-CN" w:bidi="ar"/>
        </w:rPr>
        <w:t>没有列出。</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新西兰化学品名录 (NZIoC)</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left"/>
        <w:rPr>
          <w:rFonts w:hint="default" w:ascii="Arial" w:hAnsi="Arial" w:cs="Arial"/>
          <w:i w:val="0"/>
          <w:iCs w:val="0"/>
          <w:caps w:val="0"/>
          <w:color w:val="000000"/>
          <w:spacing w:val="0"/>
        </w:rPr>
      </w:pPr>
      <w:r>
        <w:rPr>
          <w:rFonts w:hint="default" w:ascii="Arial" w:hAnsi="Arial" w:eastAsia="宋体" w:cs="Arial"/>
          <w:i w:val="0"/>
          <w:iCs w:val="0"/>
          <w:caps w:val="0"/>
          <w:color w:val="000000"/>
          <w:spacing w:val="0"/>
          <w:kern w:val="0"/>
          <w:sz w:val="24"/>
          <w:szCs w:val="24"/>
          <w:lang w:val="en-US" w:eastAsia="zh-CN" w:bidi="ar"/>
        </w:rPr>
        <w:t>没有列出。</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PICCS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left"/>
        <w:rPr>
          <w:rFonts w:hint="default" w:ascii="Arial" w:hAnsi="Arial" w:cs="Arial"/>
          <w:i w:val="0"/>
          <w:iCs w:val="0"/>
          <w:caps w:val="0"/>
          <w:color w:val="000000"/>
          <w:spacing w:val="0"/>
        </w:rPr>
      </w:pPr>
      <w:r>
        <w:rPr>
          <w:rFonts w:hint="default" w:ascii="Arial" w:hAnsi="Arial" w:eastAsia="宋体" w:cs="Arial"/>
          <w:i w:val="0"/>
          <w:iCs w:val="0"/>
          <w:caps w:val="0"/>
          <w:color w:val="000000"/>
          <w:spacing w:val="0"/>
          <w:kern w:val="0"/>
          <w:sz w:val="24"/>
          <w:szCs w:val="24"/>
          <w:lang w:val="en-US" w:eastAsia="zh-CN" w:bidi="ar"/>
        </w:rPr>
        <w:t>没有列出。</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越南国家化学品名录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left"/>
        <w:rPr>
          <w:rFonts w:hint="default" w:ascii="Arial" w:hAnsi="Arial" w:cs="Arial"/>
          <w:i w:val="0"/>
          <w:iCs w:val="0"/>
          <w:caps w:val="0"/>
          <w:color w:val="000000"/>
          <w:spacing w:val="0"/>
        </w:rPr>
      </w:pPr>
      <w:r>
        <w:rPr>
          <w:rFonts w:hint="default" w:ascii="Arial" w:hAnsi="Arial" w:eastAsia="宋体" w:cs="Arial"/>
          <w:i w:val="0"/>
          <w:iCs w:val="0"/>
          <w:caps w:val="0"/>
          <w:color w:val="000000"/>
          <w:spacing w:val="0"/>
          <w:kern w:val="0"/>
          <w:sz w:val="24"/>
          <w:szCs w:val="24"/>
          <w:lang w:val="en-US" w:eastAsia="zh-CN" w:bidi="ar"/>
        </w:rPr>
        <w:t>没有列出。</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IECSC</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left"/>
        <w:rPr>
          <w:rFonts w:hint="default" w:ascii="Arial" w:hAnsi="Arial" w:cs="Arial"/>
          <w:i w:val="0"/>
          <w:iCs w:val="0"/>
          <w:caps w:val="0"/>
          <w:color w:val="000000"/>
          <w:spacing w:val="0"/>
        </w:rPr>
      </w:pPr>
      <w:r>
        <w:rPr>
          <w:rFonts w:hint="default" w:ascii="Arial" w:hAnsi="Arial" w:eastAsia="宋体" w:cs="Arial"/>
          <w:i w:val="0"/>
          <w:iCs w:val="0"/>
          <w:caps w:val="0"/>
          <w:color w:val="000000"/>
          <w:spacing w:val="0"/>
          <w:kern w:val="0"/>
          <w:sz w:val="24"/>
          <w:szCs w:val="24"/>
          <w:lang w:val="en-US" w:eastAsia="zh-CN" w:bidi="ar"/>
        </w:rPr>
        <w:t>没有列出。</w:t>
      </w:r>
    </w:p>
    <w:p>
      <w:pPr>
        <w:keepNext w:val="0"/>
        <w:keepLines w:val="0"/>
        <w:widowControl/>
        <w:suppressLineNumbers w:val="0"/>
        <w:spacing w:before="0" w:beforeAutospacing="0" w:after="0" w:afterAutospacing="0"/>
        <w:ind w:left="0" w:right="0"/>
        <w:jc w:val="left"/>
      </w:pPr>
      <w:r>
        <w:rPr>
          <w:rFonts w:hint="default" w:ascii="Arial" w:hAnsi="Arial" w:eastAsia="宋体" w:cs="Arial"/>
          <w:b/>
          <w:bCs/>
          <w:i w:val="0"/>
          <w:iCs w:val="0"/>
          <w:caps w:val="0"/>
          <w:color w:val="000000"/>
          <w:spacing w:val="0"/>
          <w:kern w:val="0"/>
          <w:sz w:val="24"/>
          <w:szCs w:val="24"/>
          <w:lang w:val="en-US" w:eastAsia="zh-CN" w:bidi="ar"/>
        </w:rPr>
        <w:t>韩国现有化学品清单 (KECL)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jc w:val="left"/>
        <w:rPr>
          <w:rFonts w:hint="default" w:ascii="Arial" w:hAnsi="Arial" w:cs="Arial"/>
          <w:i w:val="0"/>
          <w:iCs w:val="0"/>
          <w:caps w:val="0"/>
          <w:color w:val="000000"/>
          <w:spacing w:val="0"/>
        </w:rPr>
      </w:pPr>
      <w:r>
        <w:rPr>
          <w:rFonts w:hint="default" w:ascii="Arial" w:hAnsi="Arial" w:eastAsia="宋体" w:cs="Arial"/>
          <w:i w:val="0"/>
          <w:iCs w:val="0"/>
          <w:caps w:val="0"/>
          <w:color w:val="000000"/>
          <w:spacing w:val="0"/>
          <w:kern w:val="0"/>
          <w:sz w:val="24"/>
          <w:szCs w:val="24"/>
          <w:lang w:val="en-US" w:eastAsia="zh-CN" w:bidi="ar"/>
        </w:rPr>
        <w:t>没有列出。</w:t>
      </w:r>
    </w:p>
    <w:p>
      <w:pPr>
        <w:pStyle w:val="3"/>
        <w:keepNext w:val="0"/>
        <w:keepLines w:val="0"/>
        <w:widowControl/>
        <w:suppressLineNumbers w:val="0"/>
        <w:pBdr>
          <w:top w:val="single" w:color="333333" w:sz="6" w:space="11"/>
          <w:left w:val="none" w:color="auto" w:sz="0" w:space="0"/>
          <w:bottom w:val="none" w:color="auto" w:sz="0" w:space="0"/>
          <w:right w:val="none" w:color="auto" w:sz="0" w:space="0"/>
        </w:pBdr>
        <w:spacing w:before="376" w:beforeAutospacing="0" w:after="0" w:afterAutospacing="0" w:line="24" w:lineRule="atLeast"/>
        <w:ind w:left="0" w:right="0"/>
        <w:rPr>
          <w:b w:val="0"/>
          <w:bCs w:val="0"/>
          <w:color w:val="333333"/>
        </w:rPr>
      </w:pPr>
      <w:r>
        <w:rPr>
          <w:b w:val="0"/>
          <w:bCs w:val="0"/>
          <w:i w:val="0"/>
          <w:iCs w:val="0"/>
          <w:caps w:val="0"/>
          <w:color w:val="333333"/>
          <w:spacing w:val="0"/>
        </w:rPr>
        <w:t>第 16 节：其他信息</w:t>
      </w:r>
      <w:bookmarkStart w:id="15" w:name="16"/>
      <w:bookmarkEnd w:id="15"/>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缩写与首字母缩略词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CAS：化学文摘社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ADR：关于国际公路运输危险货物的欧洲协定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RID：关于国际铁路运输危险品的规定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IMDG：国际海运危险品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IATA：国际航空运输协会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TWA：时间加权平均值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STEL：短期暴露限值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LC50：致死浓度 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LD50：致死剂量 50%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EC50：有效浓度 50%</w:t>
      </w:r>
    </w:p>
    <w:p>
      <w:pPr>
        <w:pStyle w:val="4"/>
        <w:keepNext w:val="0"/>
        <w:keepLines w:val="0"/>
        <w:widowControl/>
        <w:suppressLineNumbers w:val="0"/>
        <w:spacing w:before="0" w:beforeAutospacing="0" w:after="0" w:afterAutospacing="0" w:line="24" w:lineRule="atLeast"/>
        <w:ind w:left="0" w:right="0"/>
      </w:pPr>
      <w:r>
        <w:rPr>
          <w:i w:val="0"/>
          <w:iCs w:val="0"/>
          <w:caps w:val="0"/>
          <w:color w:val="000000"/>
          <w:spacing w:val="0"/>
        </w:rPr>
        <w:t>参考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IPCS - 国际化学品安全卡 (ICSC)，网站：http://www.ilo.org/dyn/icsc/showcard.home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HSDB - 有害物质数据库，网站：https://toxnet.nlm.nih.gov/newtoxnet/hsdb.htm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IARC - 国际癌症研究机构，网站：http://www.iarc.fr/</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eChemPortal - 经合组织提供的化学物质信息全球门户，网站：http://www.echemportal.org/echemportal/index?pageID=0&amp;request_locale=en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CAMEO Chemicals，网站：http://cameochemicals.noaa.gov/search/simple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ChemIDplus，网站：http://chem.sis.nlm.nih.gov/chemidplus/chemidlite.jsp</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ERG - 美国交通部的应急响应指南，网站：http://www.phmsa.dot.gov/hazmat/library/erg</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德国 GESTIS-有害物质数据库，网站：http://www.dguv.de/ifa/gestis/gestis-stoffdatenbank/index-2.jsp</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pPr>
      <w:r>
        <w:rPr>
          <w:rFonts w:hint="default" w:ascii="Symbol" w:hAnsi="Symbol" w:eastAsia="Symbol" w:cs="Symbol"/>
          <w:sz w:val="24"/>
        </w:rPr>
        <w:t>·</w:t>
      </w:r>
      <w:r>
        <w:rPr>
          <w:rFonts w:hint="eastAsia" w:ascii="宋体" w:hAnsi="宋体" w:eastAsia="宋体" w:cs="宋体"/>
          <w:sz w:val="24"/>
        </w:rPr>
        <w:t xml:space="preserve">  </w:t>
      </w:r>
      <w:r>
        <w:rPr>
          <w:rFonts w:hint="default" w:ascii="Arial" w:hAnsi="Arial" w:cs="Arial"/>
          <w:i w:val="0"/>
          <w:iCs w:val="0"/>
          <w:caps w:val="0"/>
          <w:color w:val="000000"/>
          <w:spacing w:val="0"/>
        </w:rPr>
        <w:t>ECHA - 欧洲化学品管理局，网站：https://echa.europa.eu/</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23" w:lineRule="atLeast"/>
        <w:ind w:left="0" w:right="0" w:firstLine="0"/>
        <w:jc w:val="left"/>
        <w:rPr>
          <w:rFonts w:ascii="微软雅黑" w:hAnsi="微软雅黑" w:eastAsia="微软雅黑" w:cs="微软雅黑"/>
          <w:i/>
          <w:iCs/>
          <w:caps w:val="0"/>
          <w:color w:val="999999"/>
          <w:spacing w:val="0"/>
        </w:rPr>
      </w:pPr>
      <w:r>
        <w:rPr>
          <w:rFonts w:hint="eastAsia" w:ascii="微软雅黑" w:hAnsi="微软雅黑" w:eastAsia="微软雅黑" w:cs="微软雅黑"/>
          <w:b/>
          <w:bCs/>
          <w:i/>
          <w:iCs/>
          <w:caps w:val="0"/>
          <w:color w:val="999999"/>
          <w:spacing w:val="0"/>
          <w:kern w:val="0"/>
          <w:sz w:val="24"/>
          <w:szCs w:val="24"/>
          <w:lang w:val="en-US" w:eastAsia="zh-CN" w:bidi="ar"/>
        </w:rPr>
        <w:t>免责声明：</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pPr>
      <w:r>
        <w:rPr>
          <w:rFonts w:hint="eastAsia" w:ascii="微软雅黑" w:hAnsi="微软雅黑" w:eastAsia="微软雅黑" w:cs="微软雅黑"/>
          <w:i/>
          <w:iCs/>
          <w:caps w:val="0"/>
          <w:color w:val="999999"/>
          <w:spacing w:val="0"/>
        </w:rPr>
        <w:t>本MSDS中的信息仅适用于指定产品，除非另有说明，否则不适用于本产品与其他物质的混合物。本 MSDS 仅为那些接受过适当的产品使用者专业培训的人员提供有关产品安全性的信息。本 MSDS 的使用者必须对本 SDS 的适用性做出独立判断。本 MSDS 的作者对因使用本 MSDS 而造成的任何损害概不负责。</w:t>
      </w:r>
    </w:p>
    <w:p/>
    <w:sectPr>
      <w:headerReference r:id="rId3" w:type="default"/>
      <w:pgSz w:w="11906" w:h="16838"/>
      <w:pgMar w:top="1440" w:right="1800" w:bottom="1440" w:left="1800" w:header="851" w:footer="992" w:gutter="0"/>
      <w:pgNumType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723"/>
      <w:rPr>
        <w:b/>
        <w:sz w:val="36"/>
        <w:szCs w:val="36"/>
      </w:rPr>
    </w:pPr>
    <w:r>
      <w:rPr>
        <w:rFonts w:hint="eastAsia"/>
        <w:b/>
        <w:sz w:val="36"/>
        <w:szCs w:val="36"/>
      </w:rPr>
      <w:drawing>
        <wp:anchor distT="0" distB="0" distL="114300" distR="114300" simplePos="0" relativeHeight="251659264" behindDoc="0" locked="0" layoutInCell="1" allowOverlap="1">
          <wp:simplePos x="0" y="0"/>
          <wp:positionH relativeFrom="margin">
            <wp:posOffset>257175</wp:posOffset>
          </wp:positionH>
          <wp:positionV relativeFrom="margin">
            <wp:posOffset>-868045</wp:posOffset>
          </wp:positionV>
          <wp:extent cx="933450" cy="657225"/>
          <wp:effectExtent l="19050" t="0" r="0" b="0"/>
          <wp:wrapSquare wrapText="bothSides"/>
          <wp:docPr id="7" name="图片 0" descr="QQ图片20141209101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QQ图片20141209101002.png"/>
                  <pic:cNvPicPr>
                    <a:picLocks noChangeAspect="1"/>
                  </pic:cNvPicPr>
                </pic:nvPicPr>
                <pic:blipFill>
                  <a:blip r:embed="rId1"/>
                  <a:stretch>
                    <a:fillRect/>
                  </a:stretch>
                </pic:blipFill>
                <pic:spPr>
                  <a:xfrm>
                    <a:off x="0" y="0"/>
                    <a:ext cx="933450" cy="657225"/>
                  </a:xfrm>
                  <a:prstGeom prst="rect">
                    <a:avLst/>
                  </a:prstGeom>
                </pic:spPr>
              </pic:pic>
            </a:graphicData>
          </a:graphic>
        </wp:anchor>
      </w:drawing>
    </w:r>
    <w:r>
      <w:rPr>
        <w:rFonts w:hint="eastAsia"/>
        <w:b/>
        <w:sz w:val="36"/>
        <w:szCs w:val="36"/>
      </w:rPr>
      <w:t xml:space="preserve">   武汉能迈科实业有限公司</w:t>
    </w:r>
  </w:p>
  <w:p>
    <w:pPr>
      <w:pStyle w:val="7"/>
      <w:pBdr>
        <w:bottom w:val="none" w:color="auto" w:sz="0" w:space="0"/>
      </w:pBdr>
      <w:ind w:firstLine="723"/>
      <w:rPr>
        <w:b/>
        <w:sz w:val="36"/>
        <w:szCs w:val="36"/>
      </w:rPr>
    </w:pPr>
    <w:r>
      <w:rPr>
        <w:rFonts w:hint="eastAsia"/>
        <w:b/>
        <w:sz w:val="36"/>
        <w:szCs w:val="36"/>
      </w:rPr>
      <w:t xml:space="preserve">   </w:t>
    </w:r>
    <w:bookmarkStart w:id="16" w:name="OLE_LINK2"/>
    <w:bookmarkStart w:id="17" w:name="OLE_LINK1"/>
    <w:r>
      <w:rPr>
        <w:rFonts w:hint="eastAsia"/>
        <w:b/>
        <w:sz w:val="36"/>
        <w:szCs w:val="36"/>
      </w:rPr>
      <w:t xml:space="preserve">Wuhan </w:t>
    </w:r>
    <w:r>
      <w:rPr>
        <w:b/>
        <w:sz w:val="36"/>
        <w:szCs w:val="36"/>
      </w:rPr>
      <w:t xml:space="preserve">Landmark </w:t>
    </w:r>
    <w:r>
      <w:rPr>
        <w:rFonts w:hint="eastAsia"/>
        <w:b/>
        <w:sz w:val="36"/>
        <w:szCs w:val="36"/>
      </w:rPr>
      <w:t>Industrial</w:t>
    </w:r>
    <w:r>
      <w:rPr>
        <w:b/>
        <w:sz w:val="36"/>
        <w:szCs w:val="36"/>
      </w:rPr>
      <w:t xml:space="preserve"> Co., L</w:t>
    </w:r>
    <w:bookmarkEnd w:id="16"/>
    <w:bookmarkEnd w:id="17"/>
    <w:r>
      <w:rPr>
        <w:rFonts w:hint="eastAsia"/>
        <w:b/>
        <w:sz w:val="36"/>
        <w:szCs w:val="36"/>
      </w:rPr>
      <w:t>td.</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A52CA"/>
    <w:multiLevelType w:val="multilevel"/>
    <w:tmpl w:val="958A52C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FA9C1277"/>
    <w:multiLevelType w:val="multilevel"/>
    <w:tmpl w:val="FA9C127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30580422"/>
    <w:multiLevelType w:val="multilevel"/>
    <w:tmpl w:val="3058042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788FEBC2"/>
    <w:multiLevelType w:val="multilevel"/>
    <w:tmpl w:val="788FEB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7EA7F565"/>
    <w:multiLevelType w:val="multilevel"/>
    <w:tmpl w:val="7EA7F56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kyM2RkMzY3MzhmNzRkZDRkZjljMDFlYWE3MjkzZWMifQ=="/>
  </w:docVars>
  <w:rsids>
    <w:rsidRoot w:val="00142CDD"/>
    <w:rsid w:val="00013C3F"/>
    <w:rsid w:val="000C4547"/>
    <w:rsid w:val="000D51A3"/>
    <w:rsid w:val="001171FE"/>
    <w:rsid w:val="00142CDD"/>
    <w:rsid w:val="00171847"/>
    <w:rsid w:val="001A6A76"/>
    <w:rsid w:val="001D1708"/>
    <w:rsid w:val="002342DA"/>
    <w:rsid w:val="002403D8"/>
    <w:rsid w:val="002D544E"/>
    <w:rsid w:val="00312AA1"/>
    <w:rsid w:val="00332728"/>
    <w:rsid w:val="0034028B"/>
    <w:rsid w:val="003443BE"/>
    <w:rsid w:val="00361EA3"/>
    <w:rsid w:val="00397D0F"/>
    <w:rsid w:val="0043418D"/>
    <w:rsid w:val="00450A0D"/>
    <w:rsid w:val="004E21D8"/>
    <w:rsid w:val="00505192"/>
    <w:rsid w:val="0050695E"/>
    <w:rsid w:val="006142BC"/>
    <w:rsid w:val="00633419"/>
    <w:rsid w:val="00740344"/>
    <w:rsid w:val="00781F86"/>
    <w:rsid w:val="00850E18"/>
    <w:rsid w:val="00857A86"/>
    <w:rsid w:val="008A6AE9"/>
    <w:rsid w:val="00975605"/>
    <w:rsid w:val="009E332C"/>
    <w:rsid w:val="00A1257D"/>
    <w:rsid w:val="00AE292A"/>
    <w:rsid w:val="00B72949"/>
    <w:rsid w:val="00B93435"/>
    <w:rsid w:val="00BC3B57"/>
    <w:rsid w:val="00C45701"/>
    <w:rsid w:val="00C869E6"/>
    <w:rsid w:val="00CA23DE"/>
    <w:rsid w:val="00CD0D67"/>
    <w:rsid w:val="00D27541"/>
    <w:rsid w:val="00D82D41"/>
    <w:rsid w:val="00E3783C"/>
    <w:rsid w:val="00E40A5C"/>
    <w:rsid w:val="00E50814"/>
    <w:rsid w:val="00E50A1A"/>
    <w:rsid w:val="00EB193E"/>
    <w:rsid w:val="00F019F6"/>
    <w:rsid w:val="00F0790F"/>
    <w:rsid w:val="00FA3CC6"/>
    <w:rsid w:val="00FE28FA"/>
    <w:rsid w:val="0A2358F3"/>
    <w:rsid w:val="122206CB"/>
    <w:rsid w:val="65CA3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uiPriority w:val="99"/>
    <w:rPr>
      <w:sz w:val="18"/>
      <w:szCs w:val="18"/>
    </w:rPr>
  </w:style>
  <w:style w:type="paragraph" w:styleId="6">
    <w:name w:val="footer"/>
    <w:basedOn w:val="1"/>
    <w:link w:val="16"/>
    <w:semiHidden/>
    <w:unhideWhenUsed/>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批注框文本 Char"/>
    <w:basedOn w:val="11"/>
    <w:link w:val="5"/>
    <w:semiHidden/>
    <w:uiPriority w:val="99"/>
    <w:rPr>
      <w:sz w:val="18"/>
      <w:szCs w:val="18"/>
    </w:rPr>
  </w:style>
  <w:style w:type="character" w:customStyle="1" w:styleId="14">
    <w:name w:val="标题 3 Char"/>
    <w:basedOn w:val="11"/>
    <w:link w:val="4"/>
    <w:uiPriority w:val="9"/>
    <w:rPr>
      <w:rFonts w:ascii="宋体" w:hAnsi="宋体" w:eastAsia="宋体" w:cs="宋体"/>
      <w:b/>
      <w:bCs/>
      <w:kern w:val="0"/>
      <w:sz w:val="27"/>
      <w:szCs w:val="27"/>
    </w:rPr>
  </w:style>
  <w:style w:type="character" w:customStyle="1" w:styleId="15">
    <w:name w:val="页眉 Char"/>
    <w:basedOn w:val="11"/>
    <w:link w:val="7"/>
    <w:uiPriority w:val="99"/>
    <w:rPr>
      <w:sz w:val="18"/>
      <w:szCs w:val="18"/>
    </w:rPr>
  </w:style>
  <w:style w:type="character" w:customStyle="1" w:styleId="16">
    <w:name w:val="页脚 Char"/>
    <w:basedOn w:val="11"/>
    <w:link w:val="6"/>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152ECA-1A66-4C53-96DE-FA1584EE5FF6}">
  <ds:schemaRefs/>
</ds:datastoreItem>
</file>

<file path=docProps/app.xml><?xml version="1.0" encoding="utf-8"?>
<Properties xmlns="http://schemas.openxmlformats.org/officeDocument/2006/extended-properties" xmlns:vt="http://schemas.openxmlformats.org/officeDocument/2006/docPropsVTypes">
  <Template>Normal</Template>
  <Pages>10</Pages>
  <Words>2706</Words>
  <Characters>3470</Characters>
  <Lines>34</Lines>
  <Paragraphs>9</Paragraphs>
  <TotalTime>12</TotalTime>
  <ScaleCrop>false</ScaleCrop>
  <LinksUpToDate>false</LinksUpToDate>
  <CharactersWithSpaces>3619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2020-05-25T08:49:00Z</dcterms:created>
  <dc:creator>Administrator</dc:creator>
  <cp:lastModifiedBy>A武汉能迈科袁志成</cp:lastModifiedBy>
  <dcterms:modified xsi:type="dcterms:W3CDTF">2023-01-05T09:43:53Z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53CF59691D574C78A3D39347B1C2E9B6</vt:lpwstr>
  </property>
</Properties>
</file>