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化学安全技术说明书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黑体" w:eastAsia="黑体" w:cs="Times New Roman"/>
          <w:sz w:val="24"/>
          <w:szCs w:val="24"/>
        </w:rPr>
        <w:t>产品名称：</w:t>
      </w:r>
      <w:r>
        <w:rPr>
          <w:rFonts w:hint="eastAsia" w:ascii="Times New Roman" w:hAnsi="黑体" w:eastAsia="黑体" w:cs="Times New Roman"/>
          <w:sz w:val="24"/>
          <w:szCs w:val="24"/>
        </w:rPr>
        <w:t>肉桂腈</w:t>
      </w:r>
      <w:r>
        <w:rPr>
          <w:rFonts w:ascii="Times New Roman" w:hAnsi="Times New Roman" w:eastAsia="黑体" w:cs="Times New Roman"/>
          <w:sz w:val="24"/>
          <w:szCs w:val="24"/>
        </w:rPr>
        <w:t xml:space="preserve">                     </w:t>
      </w:r>
      <w:r>
        <w:rPr>
          <w:rFonts w:ascii="Times New Roman" w:hAnsi="黑体" w:eastAsia="黑体" w:cs="Times New Roman"/>
          <w:sz w:val="24"/>
          <w:szCs w:val="24"/>
        </w:rPr>
        <w:t>按照</w:t>
      </w:r>
      <w:r>
        <w:rPr>
          <w:rFonts w:ascii="Times New Roman" w:hAnsi="Times New Roman" w:eastAsia="黑体" w:cs="Times New Roman"/>
          <w:sz w:val="24"/>
          <w:szCs w:val="24"/>
        </w:rPr>
        <w:t>GB/T16483</w:t>
      </w:r>
      <w:r>
        <w:rPr>
          <w:rFonts w:ascii="Times New Roman" w:hAnsi="黑体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GB/T17519</w:t>
      </w:r>
      <w:r>
        <w:rPr>
          <w:rFonts w:ascii="Times New Roman" w:hAnsi="黑体" w:eastAsia="黑体" w:cs="Times New Roman"/>
          <w:sz w:val="24"/>
          <w:szCs w:val="24"/>
        </w:rPr>
        <w:t>编制</w:t>
      </w:r>
    </w:p>
    <w:p>
      <w:pPr>
        <w:rPr>
          <w:rFonts w:ascii="Times New Roman" w:hAnsi="黑体" w:eastAsia="黑体" w:cs="Times New Roman"/>
          <w:sz w:val="24"/>
          <w:szCs w:val="24"/>
        </w:rPr>
      </w:pPr>
      <w:r>
        <w:rPr>
          <w:rFonts w:ascii="Times New Roman" w:hAnsi="黑体" w:eastAsia="黑体" w:cs="Times New Roman"/>
          <w:sz w:val="24"/>
          <w:szCs w:val="24"/>
        </w:rPr>
        <w:t>修订日期：</w:t>
      </w:r>
      <w:r>
        <w:rPr>
          <w:rFonts w:ascii="Times New Roman" w:hAnsi="Times New Roman" w:eastAsia="黑体" w:cs="Times New Roman"/>
          <w:sz w:val="24"/>
          <w:szCs w:val="24"/>
        </w:rPr>
        <w:t>201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8</w:t>
      </w:r>
      <w:r>
        <w:rPr>
          <w:rFonts w:ascii="Times New Roman" w:hAnsi="黑体" w:eastAsia="黑体" w:cs="Times New Roman"/>
          <w:sz w:val="24"/>
          <w:szCs w:val="24"/>
        </w:rPr>
        <w:t>年</w:t>
      </w:r>
      <w:r>
        <w:rPr>
          <w:rFonts w:ascii="Times New Roman" w:hAnsi="Times New Roman" w:eastAsia="黑体" w:cs="Times New Roman"/>
          <w:sz w:val="24"/>
          <w:szCs w:val="24"/>
        </w:rPr>
        <w:t>07</w:t>
      </w:r>
      <w:r>
        <w:rPr>
          <w:rFonts w:ascii="Times New Roman" w:hAnsi="黑体" w:eastAsia="黑体" w:cs="Times New Roman"/>
          <w:sz w:val="24"/>
          <w:szCs w:val="24"/>
        </w:rPr>
        <w:t>月</w:t>
      </w:r>
      <w:r>
        <w:rPr>
          <w:rFonts w:ascii="Times New Roman" w:hAnsi="Times New Roman" w:eastAsia="黑体" w:cs="Times New Roman"/>
          <w:sz w:val="24"/>
          <w:szCs w:val="24"/>
        </w:rPr>
        <w:t>11</w:t>
      </w:r>
      <w:r>
        <w:rPr>
          <w:rFonts w:ascii="Times New Roman" w:hAnsi="黑体" w:eastAsia="黑体" w:cs="Times New Roman"/>
          <w:sz w:val="24"/>
          <w:szCs w:val="24"/>
        </w:rPr>
        <w:t>日</w:t>
      </w:r>
      <w:r>
        <w:rPr>
          <w:rFonts w:ascii="Times New Roman" w:hAnsi="Times New Roman" w:eastAsia="黑体" w:cs="Times New Roman"/>
          <w:sz w:val="24"/>
          <w:szCs w:val="24"/>
        </w:rPr>
        <w:t xml:space="preserve">             </w:t>
      </w:r>
      <w:r>
        <w:rPr>
          <w:rFonts w:ascii="Times New Roman" w:hAnsi="黑体" w:eastAsia="黑体" w:cs="Times New Roman"/>
          <w:sz w:val="24"/>
          <w:szCs w:val="24"/>
        </w:rPr>
        <w:t>最初编制日期：</w:t>
      </w:r>
      <w:r>
        <w:rPr>
          <w:rFonts w:ascii="Times New Roman" w:hAnsi="Times New Roman" w:eastAsia="黑体" w:cs="Times New Roman"/>
          <w:sz w:val="24"/>
          <w:szCs w:val="24"/>
        </w:rPr>
        <w:t>201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8</w:t>
      </w:r>
      <w:r>
        <w:rPr>
          <w:rFonts w:ascii="Times New Roman" w:hAnsi="黑体" w:eastAsia="黑体" w:cs="Times New Roman"/>
          <w:sz w:val="24"/>
          <w:szCs w:val="24"/>
        </w:rPr>
        <w:t>年</w:t>
      </w:r>
      <w:r>
        <w:rPr>
          <w:rFonts w:ascii="Times New Roman" w:hAnsi="Times New Roman" w:eastAsia="黑体" w:cs="Times New Roman"/>
          <w:sz w:val="24"/>
          <w:szCs w:val="24"/>
        </w:rPr>
        <w:t>7</w:t>
      </w:r>
      <w:r>
        <w:rPr>
          <w:rFonts w:ascii="Times New Roman" w:hAnsi="黑体" w:eastAsia="黑体" w:cs="Times New Roman"/>
          <w:sz w:val="24"/>
          <w:szCs w:val="24"/>
        </w:rPr>
        <w:t>月</w:t>
      </w:r>
      <w:r>
        <w:rPr>
          <w:rFonts w:ascii="Times New Roman" w:hAnsi="Times New Roman" w:eastAsia="黑体" w:cs="Times New Roman"/>
          <w:sz w:val="24"/>
          <w:szCs w:val="24"/>
        </w:rPr>
        <w:t>11</w:t>
      </w:r>
      <w:r>
        <w:rPr>
          <w:rFonts w:ascii="Times New Roman" w:hAnsi="黑体" w:eastAsia="黑体" w:cs="Times New Roman"/>
          <w:sz w:val="24"/>
          <w:szCs w:val="24"/>
        </w:rPr>
        <w:t>日</w:t>
      </w:r>
    </w:p>
    <w:p>
      <w:pPr>
        <w:rPr>
          <w:rFonts w:ascii="Times New Roman" w:hAnsi="黑体" w:eastAsia="黑体" w:cs="Times New Roman"/>
          <w:sz w:val="24"/>
          <w:szCs w:val="24"/>
        </w:rPr>
      </w:pPr>
      <w:r>
        <w:rPr>
          <w:rFonts w:ascii="Times New Roman" w:hAnsi="黑体" w:eastAsia="黑体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381000</wp:posOffset>
                </wp:positionV>
                <wp:extent cx="5553075" cy="19050"/>
                <wp:effectExtent l="0" t="4445" r="9525" b="508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19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flip:y;margin-left:-6pt;margin-top:30pt;height:1.5pt;width:437.25pt;z-index:251660288;mso-width-relative:page;mso-height-relative:page;" filled="f" stroked="t" coordsize="21600,21600" o:gfxdata="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O/TaHXAAAACQEAAA8AAAAAAAAAAQAgAAAAIgAAAGRycy9kb3du&#10;cmV2LnhtbFBLAQIUABQAAAAIAIdO4kAc/yn2AAIAAPE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黑体" w:eastAsia="黑体" w:cs="Times New Roman"/>
          <w:sz w:val="24"/>
          <w:szCs w:val="24"/>
        </w:rPr>
        <w:t>版本：1.0</w:t>
      </w:r>
    </w:p>
    <w:p>
      <w:pPr>
        <w:rPr>
          <w:rFonts w:ascii="Times New Roman" w:hAnsi="黑体" w:eastAsia="黑体" w:cs="Times New Roman"/>
          <w:sz w:val="24"/>
          <w:szCs w:val="24"/>
        </w:rPr>
      </w:pPr>
    </w:p>
    <w:p>
      <w:pPr>
        <w:rPr>
          <w:rFonts w:ascii="Times New Roman" w:hAnsi="黑体" w:eastAsia="黑体" w:cs="Times New Roman"/>
          <w:sz w:val="24"/>
          <w:szCs w:val="24"/>
        </w:rPr>
      </w:pPr>
    </w:p>
    <w:p>
      <w:pPr>
        <w:ind w:firstLine="2400" w:firstLineChars="750"/>
        <w:rPr>
          <w:rFonts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第1部分 化学品及企业标识</w:t>
      </w:r>
    </w:p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化学品中文名：</w:t>
      </w:r>
      <w:r>
        <w:rPr>
          <w:rFonts w:hint="eastAsia" w:cs="Times New Roman" w:asciiTheme="minorEastAsia" w:hAnsiTheme="minorEastAsia"/>
          <w:sz w:val="24"/>
          <w:szCs w:val="24"/>
        </w:rPr>
        <w:t>肉桂腈</w:t>
      </w:r>
    </w:p>
    <w:p>
      <w:pPr>
        <w:spacing w:line="360" w:lineRule="auto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化学品英文名：cinnamon nitrile</w:t>
      </w:r>
    </w:p>
    <w:p>
      <w:pPr>
        <w:spacing w:line="360" w:lineRule="auto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企业名称：</w:t>
      </w:r>
      <w:r>
        <w:rPr>
          <w:rFonts w:hint="eastAsia" w:cs="Times New Roman" w:asciiTheme="minorEastAsia" w:hAnsiTheme="minorEastAsia"/>
          <w:sz w:val="24"/>
          <w:szCs w:val="24"/>
        </w:rPr>
        <w:t>武汉能迈科实业有限公司</w:t>
      </w:r>
    </w:p>
    <w:p>
      <w:pPr>
        <w:spacing w:line="360" w:lineRule="auto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企业地址：</w:t>
      </w:r>
      <w:r>
        <w:rPr>
          <w:rFonts w:hint="eastAsia" w:cs="Times New Roman" w:asciiTheme="minorEastAsia" w:hAnsiTheme="minorEastAsia"/>
          <w:sz w:val="24"/>
          <w:szCs w:val="24"/>
        </w:rPr>
        <w:t>武汉市江岸区塔子湖东路</w:t>
      </w:r>
      <w:r>
        <w:rPr>
          <w:rFonts w:hint="eastAsia" w:ascii="Times New Roman" w:hAnsi="Times New Roman" w:eastAsia="黑体" w:cs="Times New Roman"/>
          <w:sz w:val="24"/>
          <w:szCs w:val="24"/>
        </w:rPr>
        <w:t>18</w:t>
      </w:r>
      <w:r>
        <w:rPr>
          <w:rFonts w:hint="eastAsia" w:cs="Times New Roman" w:asciiTheme="minorEastAsia" w:hAnsiTheme="minorEastAsia"/>
          <w:sz w:val="24"/>
          <w:szCs w:val="24"/>
        </w:rPr>
        <w:t>号</w:t>
      </w:r>
    </w:p>
    <w:p>
      <w:pPr>
        <w:spacing w:line="360" w:lineRule="auto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联系电话：027-83916065</w:t>
      </w:r>
    </w:p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ind w:firstLine="2400" w:firstLineChars="750"/>
        <w:rPr>
          <w:rFonts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第2部分 危险性概述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GHS分类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物理性危害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 xml:space="preserve">            </w:t>
      </w:r>
      <w:r>
        <w:rPr>
          <w:rFonts w:hint="eastAsia" w:cs="Times New Roman" w:asciiTheme="minorEastAsia" w:hAnsiTheme="minorEastAsia"/>
          <w:sz w:val="24"/>
          <w:szCs w:val="24"/>
        </w:rPr>
        <w:t>未分类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健康危害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急性毒性(经口)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cs="Times New Roman" w:asciiTheme="minorEastAsia" w:hAnsiTheme="minorEastAsia"/>
          <w:sz w:val="24"/>
          <w:szCs w:val="24"/>
        </w:rPr>
        <w:t>第4级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急性毒性(经皮)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cs="Times New Roman" w:asciiTheme="minorEastAsia" w:hAnsiTheme="minorEastAsia"/>
          <w:sz w:val="24"/>
          <w:szCs w:val="24"/>
        </w:rPr>
        <w:t>第4级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急性毒性(吸入)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 xml:space="preserve">  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cs="Times New Roman" w:asciiTheme="minorEastAsia" w:hAnsiTheme="minorEastAsia"/>
          <w:sz w:val="24"/>
          <w:szCs w:val="24"/>
        </w:rPr>
        <w:t>第4级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皮肤腐蚀/刺激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 xml:space="preserve">        </w:t>
      </w:r>
      <w:r>
        <w:rPr>
          <w:rFonts w:hint="eastAsia" w:cs="Times New Roman" w:asciiTheme="minorEastAsia" w:hAnsiTheme="minorEastAsia"/>
          <w:sz w:val="24"/>
          <w:szCs w:val="24"/>
        </w:rPr>
        <w:t>第2级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严重损伤/刺激眼睛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cs="Times New Roman" w:asciiTheme="minorEastAsia" w:hAnsiTheme="minorEastAsia"/>
          <w:sz w:val="24"/>
          <w:szCs w:val="24"/>
        </w:rPr>
        <w:t>2A类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环境危害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 xml:space="preserve">           </w:t>
      </w:r>
      <w:r>
        <w:rPr>
          <w:rFonts w:hint="eastAsia" w:cs="Times New Roman" w:asciiTheme="minorEastAsia" w:hAnsiTheme="minorEastAsia"/>
          <w:sz w:val="24"/>
          <w:szCs w:val="24"/>
        </w:rPr>
        <w:t>未分类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GHS标签元素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2532380</wp:posOffset>
            </wp:positionH>
            <wp:positionV relativeFrom="paragraph">
              <wp:posOffset>53340</wp:posOffset>
            </wp:positionV>
            <wp:extent cx="733425" cy="731520"/>
            <wp:effectExtent l="0" t="0" r="9525" b="1143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Times New Roman" w:asciiTheme="minorEastAsia" w:hAnsiTheme="minorEastAsia"/>
          <w:sz w:val="24"/>
          <w:szCs w:val="24"/>
        </w:rPr>
        <w:t>图标或危害标志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信号词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警告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危险描述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吸入或皮肤接触或吞咽有害</w:t>
      </w:r>
    </w:p>
    <w:p>
      <w:pPr>
        <w:spacing w:line="360" w:lineRule="auto"/>
        <w:ind w:firstLine="1200" w:firstLineChars="500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造成皮肤刺激</w:t>
      </w:r>
    </w:p>
    <w:p>
      <w:pPr>
        <w:spacing w:line="360" w:lineRule="auto"/>
        <w:ind w:firstLine="1200" w:firstLineChars="500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造成严重眼刺激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防范说明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[预防]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避免吸入雾、蒸气或喷雾。只能在室外或通风良好之处使用。使用本产品时不要进食、饮水或吸烟。作业后彻底洗手和洗脸。戴防护手套、防护服、眼部防护。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[急救措施]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如果吞咽：如有不适，呼叫中毒控制中心或者医生。漱口。如果皮肤沾染：用肥皂洗完后用大量水冲洗。如有不适，呼叫中毒控制中心或者医生。脱掉受沾染的衣物，且清洗后方能再次使用。如果吸入：将受害者移到新鲜空气处，保持呼吸通畅。如有不适，呼叫中毒控制中心或者医生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如果进入眼睛：用水小心冲洗几分钟。如果戴有隐形眼镜且可方便取出，取出隐形眼镜。继续冲洗。如果眼睛刺激持续：求医或就诊。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[废弃处置]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内容物和容器的废弃处置，请遵守当地、地区和国家的法律法规。</w:t>
      </w:r>
    </w:p>
    <w:p>
      <w:pPr>
        <w:ind w:firstLine="2400" w:firstLineChars="750"/>
        <w:rPr>
          <w:rFonts w:hint="eastAsia"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3.成分/组成信息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单一物质/混合物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</w:rPr>
        <w:t>单一物质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化学名(中文名)：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肉桂腈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百分比：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&gt;95.0%(GC)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CAS RN 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1885-38-7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俗名：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Styryl Cyanide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分子式：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C9H7N</w:t>
      </w:r>
    </w:p>
    <w:p>
      <w:pPr>
        <w:ind w:firstLine="2400" w:firstLineChars="750"/>
        <w:rPr>
          <w:rFonts w:hint="eastAsia"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4.急救措施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吸入：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将受害者移到新鲜空气处，保持呼吸通畅，休息。若感不适立即呼叫解毒中心/医生。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皮肤接触：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立即去除/脱掉所有被污染的衣物。用水清洗皮肤/淋浴。若皮肤刺激或发生皮疹：求医/就诊。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眼睛接触：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用水小心清洗几分钟。如果方便，易操作，摘除隐形眼镜。继续清洗。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如果眼睛刺激：求医/就诊。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食入：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若感不适，呼叫解毒中心/医生。漱口。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紧急救助者的防护：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救援者需要穿戴个人防护用品，比如橡胶手套和气密性护目镜。</w:t>
      </w:r>
    </w:p>
    <w:p>
      <w:pPr>
        <w:ind w:firstLine="2400" w:firstLineChars="750"/>
        <w:rPr>
          <w:rFonts w:hint="eastAsia"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5.消防措施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合适的灭火剂：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干粉，泡沫，雾状水，二氧化碳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不适用的灭火剂：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棒状水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特定方法：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从上风处灭火，根据周围环境选择合适的灭火方法。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非相关人员应该撤离至安全地方。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周围一旦着火：如果安全，移去可移动容器。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消防员的特殊防护用具：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灭火时，一定要穿戴个人防护用品。</w:t>
      </w:r>
    </w:p>
    <w:p>
      <w:pPr>
        <w:ind w:firstLine="2400" w:firstLineChars="750"/>
        <w:rPr>
          <w:rFonts w:hint="eastAsia"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6.泄漏应急处理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个人防护措施，防护用具， 紧急措施：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使用个人防护用品。远离溢出物/泄露处并处在上风处。确保足够通风。  泄露区应该用安全带等圈起来，控制非相关人员进入。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环保措施：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防止进入下水道。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控制和清洗的方法和材料：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用合适的吸收剂(如：旧布，干砂，土，锯屑)吸收泄漏物。一旦大量泄漏，筑堤控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制。附着物或收集物应该立即根据合适的法律法规废弃处置。</w:t>
      </w:r>
    </w:p>
    <w:p>
      <w:pPr>
        <w:ind w:firstLine="2400" w:firstLineChars="750"/>
        <w:rPr>
          <w:rFonts w:hint="eastAsia"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7.操作处置与储存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处理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技术措施：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在通风良好处进行处理。穿戴合适的防护用具。防止烟雾产生。处理后彻底清洗双手和脸。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注意事项：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如果蒸气或浮质产生，使用通风、局部排气。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操作处置注意事项：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避免接触皮肤、眼睛和衣物。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贮存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储存条件：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保持容器密闭。存放于凉爽、阴暗处。存放处须加锁。远离不相容的材料比如氧化剂存放。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包装材料：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依据法律。</w:t>
      </w:r>
    </w:p>
    <w:p>
      <w:pPr>
        <w:ind w:firstLine="2400" w:firstLineChars="750"/>
        <w:rPr>
          <w:rFonts w:hint="eastAsia"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8.接触控制和个体防护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工程控制：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尽可能安装封闭体系或局部排风系统，操作人员切勿直接接触。同时安装淋浴器和洗眼器。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个人防护用品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呼吸系统防护：半面罩或全面罩呼吸器，自携式呼吸器(SCBA)，供气呼吸器等。依据当地和政府法规，使用通过政府标准的呼吸器。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手部防护：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防渗手套。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眼睛防护：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护目镜。如果情况需要，佩戴面具。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皮肤和身体防护：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防渗防护服。如果情况需要，穿戴防护靴。</w:t>
      </w:r>
    </w:p>
    <w:p>
      <w:pPr>
        <w:ind w:firstLine="2400" w:firstLineChars="750"/>
        <w:rPr>
          <w:rFonts w:hint="eastAsia"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9.理化特性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外形(20°  C)：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液体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外观：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透明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颜色：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极淡的黄色 -黄色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气味：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无资料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pH: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无数据资料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熔点：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19° C (凝固点)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沸点/沸程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255 ° C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闪点：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无资料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爆炸特性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爆炸下限：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无资料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爆炸上限：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无资料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密度：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1.03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溶解度：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[水]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无资料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[其他溶剂]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溶于：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酒精</w:t>
      </w:r>
    </w:p>
    <w:p>
      <w:pPr>
        <w:ind w:firstLine="2400" w:firstLineChars="750"/>
        <w:rPr>
          <w:rFonts w:hint="eastAsia"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10.稳定性和反应性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化学稳定性：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一般情况下稳定。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危险反应的可能性：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未报道特殊反应性。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须避免接触的物质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氧化剂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危险的分解产物: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一氧化碳，二氧化碳等</w:t>
      </w:r>
    </w:p>
    <w:p>
      <w:pPr>
        <w:ind w:firstLine="2400" w:firstLineChars="750"/>
        <w:rPr>
          <w:rFonts w:hint="eastAsia"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11.毒理学信息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急性毒性：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无资料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对皮肤腐蚀或刺激：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无资料对眼睛严重损害或刺激：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无资料生殖细胞致突变性：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无资料致癌性：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 xml:space="preserve">        IARC =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无资料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 xml:space="preserve">        NTP =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无资料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生殖毒性：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无资料</w:t>
      </w:r>
    </w:p>
    <w:p>
      <w:pPr>
        <w:ind w:firstLine="2400" w:firstLineChars="750"/>
        <w:rPr>
          <w:rFonts w:hint="eastAsia"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12.生态学信息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生态毒性：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鱼类：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无资料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甲壳类：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无资料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藻类：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无资料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残留性 / 降解性：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无资料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潜在生物累积  (BCF):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无资料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土壤中移动性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 xml:space="preserve">        Log Pow:：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无资料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土壤吸收系数 (Koc)：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无资料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亨利定律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 xml:space="preserve">        constant(PaM 3/mol):</w:t>
      </w:r>
    </w:p>
    <w:p>
      <w:pPr>
        <w:ind w:firstLine="2400" w:firstLineChars="750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13.废弃处置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无资料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如果可能，回收处理。请咨询当地管理部门。建议在装有后燃和洗涤装置的化学焚烧炉中焚烧。废弃处置时请遵守国家、地区和当地的所有法规。</w:t>
      </w:r>
    </w:p>
    <w:p>
      <w:pPr>
        <w:ind w:firstLine="2400" w:firstLineChars="750"/>
        <w:rPr>
          <w:rFonts w:hint="eastAsia"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14.运输信息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联合国分类：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与联合国分类标准不一致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UN编号：</w:t>
      </w:r>
      <w:r>
        <w:rPr>
          <w:rFonts w:hint="eastAsia" w:cs="Times New Roman" w:asciiTheme="minorEastAsia" w:hAnsiTheme="minorEastAsia"/>
          <w:sz w:val="24"/>
          <w:szCs w:val="24"/>
        </w:rPr>
        <w:tab/>
      </w:r>
      <w:r>
        <w:rPr>
          <w:rFonts w:hint="eastAsia" w:cs="Times New Roman" w:asciiTheme="minorEastAsia" w:hAnsiTheme="minorEastAsia"/>
          <w:sz w:val="24"/>
          <w:szCs w:val="24"/>
        </w:rPr>
        <w:t>未列明</w:t>
      </w:r>
    </w:p>
    <w:p>
      <w:pPr>
        <w:ind w:firstLine="2400" w:firstLineChars="750"/>
        <w:rPr>
          <w:rFonts w:hint="eastAsia"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15.法规信息</w:t>
      </w:r>
    </w:p>
    <w:p>
      <w:pPr>
        <w:spacing w:line="360" w:lineRule="auto"/>
        <w:rPr>
          <w:rFonts w:hint="eastAsia" w:ascii="Times New Roman" w:hAnsi="黑体" w:eastAsia="黑体" w:cs="Times New Roman"/>
          <w:sz w:val="32"/>
          <w:szCs w:val="32"/>
        </w:rPr>
      </w:pPr>
      <w:r>
        <w:rPr>
          <w:rFonts w:hint="eastAsia" w:cs="Times New Roman" w:asciiTheme="minorEastAsia" w:hAnsiTheme="minorEastAsia"/>
          <w:sz w:val="24"/>
          <w:szCs w:val="24"/>
        </w:rPr>
        <w:t>《危险化学品安全管理条例》(2002年1月26日国务院发布，2011年2月16日修订): 针对危险化学品的安全使用、生产、储存、运输、装卸等方面均作了相应的规定。</w:t>
      </w:r>
    </w:p>
    <w:p>
      <w:pPr>
        <w:ind w:firstLine="2400" w:firstLineChars="750"/>
        <w:rPr>
          <w:rFonts w:hint="eastAsia"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16.其他信息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记载内容的供参考公司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企业名称：武汉能迈科实业有限公司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企业地址：武汉市江岸区塔子湖东路18号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联系电话：027-83916065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该化学品安全技术说明书基于我们能收集到的信息编制而成，然而，关于数据和对危害和毒性的评估不作保证。使用前，请调查危害和毒性信息，并</w:t>
      </w:r>
    </w:p>
    <w:p>
      <w:pPr>
        <w:spacing w:line="360" w:lineRule="auto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优先考虑使用该产品的组织、地区和国家的法律法规。</w:t>
      </w:r>
    </w:p>
    <w:p>
      <w:pPr>
        <w:spacing w:line="360" w:lineRule="auto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考虑到安全问题，产品购买后应该立即使用。一些新信息或修正会后续加上。如果该产品在远超出预期使用时间后使用或者您有任何问题，请和我们联系。所陈述的警告仅仅适用于普通使用情况。如果是特殊使用情况，在普通安全措施外必须做好额外的安全防护措施。应该注意到所有化学品都具有“ 未知的危害和毒性” ，在不同使用条件、储存条件下会差异很大。该产品从开封到储存到废弃整个过程须由熟悉专业知识、有经验的操作人员使用或在专家指导下使用。每位使用者都有责任建立安全的使用环境。</w:t>
      </w:r>
    </w:p>
    <w:p>
      <w:pPr>
        <w:shd w:val="clear"/>
        <w:rPr>
          <w:rFonts w:hint="eastAsia"/>
          <w:b w:val="0"/>
          <w:i w:val="0"/>
          <w:caps w:val="0"/>
          <w:color w:val="000000"/>
          <w:spacing w:val="0"/>
          <w:sz w:val="30"/>
          <w:szCs w:val="30"/>
          <w:shd w:val="clear" w:color="auto" w:fill="auto"/>
        </w:rPr>
      </w:pPr>
      <w:r>
        <w:rPr>
          <w:rFonts w:hint="eastAsia"/>
          <w:b w:val="0"/>
          <w:i w:val="0"/>
          <w:caps w:val="0"/>
          <w:color w:val="000000"/>
          <w:spacing w:val="0"/>
          <w:sz w:val="30"/>
          <w:szCs w:val="30"/>
          <w:shd w:val="clear" w:color="auto" w:fill="auto"/>
        </w:rPr>
        <w:t xml:space="preserve">免责声明： </w:t>
      </w:r>
    </w:p>
    <w:p>
      <w:pPr>
        <w:shd w:val="clear"/>
        <w:rPr>
          <w:rFonts w:hint="eastAsia"/>
          <w:b w:val="0"/>
          <w:i w:val="0"/>
          <w:caps w:val="0"/>
          <w:color w:val="000000"/>
          <w:spacing w:val="0"/>
          <w:sz w:val="30"/>
          <w:szCs w:val="30"/>
          <w:shd w:val="clear" w:color="auto" w:fill="auto"/>
        </w:rPr>
      </w:pPr>
      <w:r>
        <w:rPr>
          <w:rFonts w:hint="eastAsia"/>
          <w:b w:val="0"/>
          <w:i w:val="0"/>
          <w:caps w:val="0"/>
          <w:color w:val="000000"/>
          <w:spacing w:val="0"/>
          <w:sz w:val="30"/>
          <w:szCs w:val="30"/>
          <w:shd w:val="clear" w:color="auto" w:fill="auto"/>
        </w:rPr>
        <w:t>本MSDS的信息仅适用于所指定的产品，除非特别指明， 对于本产品与其它物质的混合物等情况不适用。 本MSDS只为那些受过适当专业训练的该产品的使用人员</w:t>
      </w:r>
    </w:p>
    <w:p>
      <w:pPr>
        <w:shd w:val="clear"/>
        <w:rPr>
          <w:b w:val="0"/>
          <w:i w:val="0"/>
          <w:caps w:val="0"/>
          <w:color w:val="000000"/>
          <w:spacing w:val="0"/>
          <w:sz w:val="30"/>
          <w:szCs w:val="30"/>
          <w:shd w:val="clear" w:color="auto" w:fill="auto"/>
        </w:rPr>
      </w:pPr>
      <w:r>
        <w:rPr>
          <w:rFonts w:hint="eastAsia"/>
          <w:b w:val="0"/>
          <w:i w:val="0"/>
          <w:caps w:val="0"/>
          <w:color w:val="000000"/>
          <w:spacing w:val="0"/>
          <w:sz w:val="30"/>
          <w:szCs w:val="30"/>
          <w:shd w:val="clear" w:color="auto" w:fill="auto"/>
        </w:rPr>
        <w:t>提供产品使用安全方面的资料。 本MSDS的使用者，须对该SDS的适用性作出独立判断。由于使用本MSDS所导致的伤害，本MSDS的编写者将不负任何责任。</w:t>
      </w:r>
    </w:p>
    <w:p>
      <w:pPr>
        <w:spacing w:line="360" w:lineRule="auto"/>
        <w:rPr>
          <w:rFonts w:ascii="Times New Roman" w:cs="Times New Roman" w:hAnsiTheme="minorEastAsia"/>
          <w:sz w:val="24"/>
          <w:szCs w:val="24"/>
        </w:rPr>
      </w:pPr>
      <w:bookmarkStart w:id="2" w:name="_GoBack"/>
      <w:bookmarkEnd w:id="2"/>
    </w:p>
    <w:p>
      <w:pPr>
        <w:spacing w:line="360" w:lineRule="auto"/>
        <w:rPr>
          <w:rFonts w:ascii="黑体" w:hAnsi="黑体" w:eastAsia="黑体" w:cs="Times New Roman"/>
          <w:sz w:val="32"/>
          <w:szCs w:val="32"/>
        </w:rPr>
      </w:pPr>
    </w:p>
    <w:p>
      <w:pPr>
        <w:ind w:firstLine="465"/>
        <w:rPr>
          <w:rFonts w:ascii="Times New Roman" w:cs="Times New Roman" w:hAnsiTheme="minorEastAsia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NumType w:start="1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723"/>
      <w:rPr>
        <w:b/>
        <w:sz w:val="36"/>
        <w:szCs w:val="36"/>
      </w:rPr>
    </w:pPr>
    <w:r>
      <w:rPr>
        <w:rFonts w:hint="eastAsia"/>
        <w:b/>
        <w:sz w:val="36"/>
        <w:szCs w:val="3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431800</wp:posOffset>
          </wp:positionH>
          <wp:positionV relativeFrom="margin">
            <wp:posOffset>-839470</wp:posOffset>
          </wp:positionV>
          <wp:extent cx="933450" cy="657225"/>
          <wp:effectExtent l="19050" t="0" r="0" b="0"/>
          <wp:wrapSquare wrapText="bothSides"/>
          <wp:docPr id="7" name="图片 0" descr="QQ图片20141209101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0" descr="QQ图片201412091010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sz w:val="36"/>
        <w:szCs w:val="36"/>
      </w:rPr>
      <w:t xml:space="preserve">   武汉能迈科实业有限公司</w:t>
    </w:r>
  </w:p>
  <w:p>
    <w:pPr>
      <w:pStyle w:val="5"/>
      <w:pBdr>
        <w:bottom w:val="none" w:color="auto" w:sz="0" w:space="0"/>
      </w:pBdr>
      <w:ind w:firstLine="723"/>
      <w:rPr>
        <w:b/>
        <w:sz w:val="36"/>
        <w:szCs w:val="36"/>
      </w:rPr>
    </w:pPr>
    <w:r>
      <w:rPr>
        <w:rFonts w:hint="eastAsia"/>
        <w:b/>
        <w:sz w:val="36"/>
        <w:szCs w:val="36"/>
      </w:rPr>
      <w:t xml:space="preserve">   </w:t>
    </w:r>
    <w:bookmarkStart w:id="0" w:name="OLE_LINK2"/>
    <w:bookmarkStart w:id="1" w:name="OLE_LINK1"/>
    <w:r>
      <w:rPr>
        <w:rFonts w:hint="eastAsia"/>
        <w:b/>
        <w:sz w:val="36"/>
        <w:szCs w:val="36"/>
      </w:rPr>
      <w:t xml:space="preserve">Wuhan </w:t>
    </w:r>
    <w:r>
      <w:rPr>
        <w:b/>
        <w:sz w:val="36"/>
        <w:szCs w:val="36"/>
      </w:rPr>
      <w:t xml:space="preserve">Landmark </w:t>
    </w:r>
    <w:r>
      <w:rPr>
        <w:rFonts w:hint="eastAsia"/>
        <w:b/>
        <w:sz w:val="36"/>
        <w:szCs w:val="36"/>
      </w:rPr>
      <w:t>Industrial</w:t>
    </w:r>
    <w:r>
      <w:rPr>
        <w:b/>
        <w:sz w:val="36"/>
        <w:szCs w:val="36"/>
      </w:rPr>
      <w:t xml:space="preserve"> Co., L</w:t>
    </w:r>
    <w:bookmarkEnd w:id="0"/>
    <w:bookmarkEnd w:id="1"/>
    <w:r>
      <w:rPr>
        <w:rFonts w:hint="eastAsia"/>
        <w:b/>
        <w:sz w:val="36"/>
        <w:szCs w:val="36"/>
      </w:rPr>
      <w:t>td.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NThjMTA4YzYxMTU1OGM2ZmNhODIxYjZhY2M1YTQifQ=="/>
  </w:docVars>
  <w:rsids>
    <w:rsidRoot w:val="00142CDD"/>
    <w:rsid w:val="001171FE"/>
    <w:rsid w:val="00142CDD"/>
    <w:rsid w:val="001A6A76"/>
    <w:rsid w:val="001D1708"/>
    <w:rsid w:val="00361EA3"/>
    <w:rsid w:val="00450A0D"/>
    <w:rsid w:val="00485116"/>
    <w:rsid w:val="00624C4D"/>
    <w:rsid w:val="00857A86"/>
    <w:rsid w:val="00B72949"/>
    <w:rsid w:val="00B93435"/>
    <w:rsid w:val="00C2349C"/>
    <w:rsid w:val="00E3783C"/>
    <w:rsid w:val="00E50A1A"/>
    <w:rsid w:val="00F019F6"/>
    <w:rsid w:val="30F05D39"/>
    <w:rsid w:val="4053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AA0B94-AFCB-437B-8C7A-B691558858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2319</Words>
  <Characters>2507</Characters>
  <Lines>39</Lines>
  <Paragraphs>11</Paragraphs>
  <TotalTime>0</TotalTime>
  <ScaleCrop>false</ScaleCrop>
  <LinksUpToDate>false</LinksUpToDate>
  <CharactersWithSpaces>2726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2019-07-23T03:28:00Z</dcterms:created>
  <dc:creator>Administrator</dc:creator>
  <cp:lastModifiedBy>吴限</cp:lastModifiedBy>
  <dcterms:modified xsi:type="dcterms:W3CDTF">2022-11-19T03:28:31Z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ACEB509DF52C48A380E3F59B0DEF7B7D</vt:lpwstr>
  </property>
</Properties>
</file>